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5B27B8" w14:textId="77777777" w:rsidR="006806BC" w:rsidRDefault="00094A11">
      <w:pPr>
        <w:spacing w:before="120" w:after="120" w:line="240" w:lineRule="auto"/>
        <w:rPr>
          <w:b/>
          <w:sz w:val="32"/>
          <w:szCs w:val="32"/>
        </w:rPr>
      </w:pPr>
      <w:bookmarkStart w:id="0" w:name="_GoBack"/>
      <w:bookmarkEnd w:id="0"/>
      <w:r>
        <w:rPr>
          <w:b/>
          <w:sz w:val="32"/>
          <w:szCs w:val="32"/>
        </w:rPr>
        <w:t>Tool 5 - 3D Assessment</w:t>
      </w:r>
    </w:p>
    <w:tbl>
      <w:tblPr>
        <w:tblStyle w:val="a"/>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6210"/>
        <w:gridCol w:w="4230"/>
      </w:tblGrid>
      <w:tr w:rsidR="006806BC" w14:paraId="301530E9" w14:textId="77777777">
        <w:tc>
          <w:tcPr>
            <w:tcW w:w="14598" w:type="dxa"/>
            <w:gridSpan w:val="3"/>
            <w:tcBorders>
              <w:top w:val="single" w:sz="4" w:space="0" w:color="000000"/>
              <w:left w:val="single" w:sz="4" w:space="0" w:color="000000"/>
              <w:bottom w:val="single" w:sz="4" w:space="0" w:color="000000"/>
              <w:right w:val="single" w:sz="4" w:space="0" w:color="000000"/>
            </w:tcBorders>
            <w:shd w:val="clear" w:color="auto" w:fill="EEECE1"/>
          </w:tcPr>
          <w:p w14:paraId="610FA40B" w14:textId="77777777" w:rsidR="006806BC" w:rsidRDefault="00094A11">
            <w:pPr>
              <w:spacing w:before="120" w:after="120"/>
              <w:rPr>
                <w:sz w:val="20"/>
                <w:szCs w:val="20"/>
              </w:rPr>
            </w:pPr>
            <w:bookmarkStart w:id="1" w:name="_gjdgxs" w:colFirst="0" w:colLast="0"/>
            <w:bookmarkEnd w:id="1"/>
            <w:r>
              <w:rPr>
                <w:b/>
                <w:sz w:val="20"/>
                <w:szCs w:val="20"/>
              </w:rPr>
              <w:t>Evaluate</w:t>
            </w:r>
            <w:r>
              <w:rPr>
                <w:sz w:val="20"/>
                <w:szCs w:val="20"/>
              </w:rPr>
              <w:t xml:space="preserve">: Experiences in the Evaluate phase encourage students to assess and reflect on their conceptual understanding and use of the science and engineering practices. The Evaluate phase includes both an activity and performance task that together allow teachers </w:t>
            </w:r>
            <w:r>
              <w:rPr>
                <w:sz w:val="20"/>
                <w:szCs w:val="20"/>
              </w:rPr>
              <w:t>to evaluate student progress toward achieving the performance expectation(s).</w:t>
            </w:r>
          </w:p>
        </w:tc>
      </w:tr>
      <w:tr w:rsidR="006806BC" w14:paraId="1F215D75" w14:textId="77777777">
        <w:trPr>
          <w:trHeight w:val="1020"/>
        </w:trPr>
        <w:tc>
          <w:tcPr>
            <w:tcW w:w="14598" w:type="dxa"/>
            <w:gridSpan w:val="3"/>
            <w:tcBorders>
              <w:top w:val="single" w:sz="4" w:space="0" w:color="000000"/>
              <w:left w:val="single" w:sz="4" w:space="0" w:color="000000"/>
              <w:bottom w:val="single" w:sz="4" w:space="0" w:color="000000"/>
              <w:right w:val="single" w:sz="4" w:space="0" w:color="000000"/>
            </w:tcBorders>
            <w:shd w:val="clear" w:color="auto" w:fill="EEECE1"/>
          </w:tcPr>
          <w:p w14:paraId="3802183D" w14:textId="77777777" w:rsidR="006806BC" w:rsidRDefault="00094A11">
            <w:pPr>
              <w:rPr>
                <w:b/>
                <w:sz w:val="18"/>
                <w:szCs w:val="18"/>
              </w:rPr>
            </w:pPr>
            <w:r>
              <w:rPr>
                <w:b/>
                <w:sz w:val="18"/>
                <w:szCs w:val="18"/>
              </w:rPr>
              <w:t>Evidence of Learning Specifications</w:t>
            </w:r>
          </w:p>
          <w:p w14:paraId="43689B7A" w14:textId="77777777" w:rsidR="006806BC" w:rsidRDefault="006806BC">
            <w:pPr>
              <w:spacing w:after="40"/>
              <w:rPr>
                <w:rFonts w:ascii="Times New Roman" w:eastAsia="Times New Roman" w:hAnsi="Times New Roman" w:cs="Times New Roman"/>
              </w:rPr>
            </w:pPr>
          </w:p>
        </w:tc>
      </w:tr>
      <w:tr w:rsidR="006806BC" w14:paraId="4A3D0F7E" w14:textId="77777777">
        <w:trPr>
          <w:trHeight w:val="6640"/>
        </w:trPr>
        <w:tc>
          <w:tcPr>
            <w:tcW w:w="4158" w:type="dxa"/>
            <w:tcBorders>
              <w:top w:val="single" w:sz="4" w:space="0" w:color="000000"/>
              <w:bottom w:val="single" w:sz="4" w:space="0" w:color="000000"/>
            </w:tcBorders>
          </w:tcPr>
          <w:p w14:paraId="5E0B0594" w14:textId="77777777" w:rsidR="006806BC" w:rsidRDefault="006806BC">
            <w:pPr>
              <w:rPr>
                <w:b/>
                <w:sz w:val="20"/>
                <w:szCs w:val="20"/>
              </w:rPr>
            </w:pPr>
          </w:p>
          <w:p w14:paraId="67E1E1D2" w14:textId="77777777" w:rsidR="006806BC" w:rsidRDefault="00094A11">
            <w:pPr>
              <w:rPr>
                <w:b/>
                <w:sz w:val="20"/>
                <w:szCs w:val="20"/>
              </w:rPr>
            </w:pPr>
            <w:r>
              <w:rPr>
                <w:b/>
                <w:sz w:val="20"/>
                <w:szCs w:val="20"/>
              </w:rPr>
              <w:t xml:space="preserve">Alignment with </w:t>
            </w:r>
            <w:proofErr w:type="spellStart"/>
            <w:r>
              <w:rPr>
                <w:b/>
                <w:sz w:val="20"/>
                <w:szCs w:val="20"/>
              </w:rPr>
              <w:t>EoLS</w:t>
            </w:r>
            <w:proofErr w:type="spellEnd"/>
          </w:p>
          <w:p w14:paraId="5FA11412" w14:textId="77777777" w:rsidR="006806BC" w:rsidRDefault="006806BC">
            <w:pPr>
              <w:rPr>
                <w:sz w:val="20"/>
                <w:szCs w:val="20"/>
              </w:rPr>
            </w:pPr>
          </w:p>
          <w:p w14:paraId="418BEE20" w14:textId="77777777" w:rsidR="006806BC" w:rsidRDefault="006806BC">
            <w:pPr>
              <w:ind w:left="360"/>
              <w:rPr>
                <w:sz w:val="20"/>
                <w:szCs w:val="20"/>
              </w:rPr>
            </w:pPr>
          </w:p>
        </w:tc>
        <w:tc>
          <w:tcPr>
            <w:tcW w:w="6210" w:type="dxa"/>
            <w:tcBorders>
              <w:top w:val="single" w:sz="4" w:space="0" w:color="000000"/>
              <w:bottom w:val="single" w:sz="4" w:space="0" w:color="000000"/>
            </w:tcBorders>
          </w:tcPr>
          <w:p w14:paraId="303B1792" w14:textId="77777777" w:rsidR="006806BC" w:rsidRDefault="006806BC">
            <w:pPr>
              <w:rPr>
                <w:b/>
                <w:sz w:val="20"/>
                <w:szCs w:val="20"/>
              </w:rPr>
            </w:pPr>
          </w:p>
          <w:p w14:paraId="6603FCA0" w14:textId="77777777" w:rsidR="006806BC" w:rsidRDefault="00094A11">
            <w:pPr>
              <w:rPr>
                <w:b/>
                <w:sz w:val="20"/>
                <w:szCs w:val="20"/>
              </w:rPr>
            </w:pPr>
            <w:r>
              <w:rPr>
                <w:b/>
                <w:sz w:val="20"/>
                <w:szCs w:val="20"/>
              </w:rPr>
              <w:t xml:space="preserve">Performance Task to address </w:t>
            </w:r>
            <w:proofErr w:type="spellStart"/>
            <w:r>
              <w:rPr>
                <w:b/>
                <w:sz w:val="20"/>
                <w:szCs w:val="20"/>
              </w:rPr>
              <w:t>EoLS</w:t>
            </w:r>
            <w:proofErr w:type="spellEnd"/>
          </w:p>
          <w:p w14:paraId="41FF75FE" w14:textId="77777777" w:rsidR="006806BC" w:rsidRDefault="00094A11">
            <w:pPr>
              <w:rPr>
                <w:sz w:val="20"/>
                <w:szCs w:val="20"/>
              </w:rPr>
            </w:pPr>
            <w:r>
              <w:rPr>
                <w:sz w:val="20"/>
                <w:szCs w:val="20"/>
              </w:rPr>
              <w:t>List questions/prompts</w:t>
            </w:r>
          </w:p>
          <w:p w14:paraId="005E7262" w14:textId="77777777" w:rsidR="006806BC" w:rsidRDefault="006806BC">
            <w:pPr>
              <w:widowControl w:val="0"/>
              <w:tabs>
                <w:tab w:val="left" w:pos="306"/>
              </w:tabs>
              <w:spacing w:after="200" w:line="276" w:lineRule="auto"/>
              <w:ind w:left="360"/>
              <w:rPr>
                <w:sz w:val="20"/>
                <w:szCs w:val="20"/>
              </w:rPr>
            </w:pPr>
          </w:p>
        </w:tc>
        <w:tc>
          <w:tcPr>
            <w:tcW w:w="4230" w:type="dxa"/>
            <w:tcBorders>
              <w:top w:val="single" w:sz="4" w:space="0" w:color="000000"/>
              <w:bottom w:val="single" w:sz="4" w:space="0" w:color="000000"/>
            </w:tcBorders>
          </w:tcPr>
          <w:p w14:paraId="4256DCAA" w14:textId="77777777" w:rsidR="006806BC" w:rsidRDefault="006806BC">
            <w:pPr>
              <w:rPr>
                <w:b/>
                <w:sz w:val="20"/>
                <w:szCs w:val="20"/>
              </w:rPr>
            </w:pPr>
          </w:p>
          <w:p w14:paraId="195C2F0B" w14:textId="77777777" w:rsidR="006806BC" w:rsidRDefault="00094A11">
            <w:pPr>
              <w:rPr>
                <w:b/>
                <w:sz w:val="20"/>
                <w:szCs w:val="20"/>
              </w:rPr>
            </w:pPr>
            <w:r>
              <w:rPr>
                <w:b/>
                <w:sz w:val="20"/>
                <w:szCs w:val="20"/>
              </w:rPr>
              <w:t>Ideal Student Responses to Task</w:t>
            </w:r>
          </w:p>
          <w:p w14:paraId="00856D3A" w14:textId="77777777" w:rsidR="006806BC" w:rsidRDefault="00094A11">
            <w:pPr>
              <w:rPr>
                <w:sz w:val="20"/>
                <w:szCs w:val="20"/>
              </w:rPr>
            </w:pPr>
            <w:r>
              <w:rPr>
                <w:sz w:val="20"/>
                <w:szCs w:val="20"/>
              </w:rPr>
              <w:t>Use to guide rubric development</w:t>
            </w:r>
          </w:p>
          <w:p w14:paraId="19BBEE57" w14:textId="77777777" w:rsidR="006806BC" w:rsidRDefault="006806BC">
            <w:pPr>
              <w:ind w:left="518" w:hanging="518"/>
              <w:rPr>
                <w:sz w:val="16"/>
                <w:szCs w:val="16"/>
              </w:rPr>
            </w:pPr>
          </w:p>
          <w:p w14:paraId="59B32FC9" w14:textId="77777777" w:rsidR="006806BC" w:rsidRDefault="006806BC">
            <w:pPr>
              <w:spacing w:after="60"/>
              <w:ind w:left="342"/>
              <w:rPr>
                <w:sz w:val="20"/>
                <w:szCs w:val="20"/>
              </w:rPr>
            </w:pPr>
          </w:p>
        </w:tc>
      </w:tr>
    </w:tbl>
    <w:p w14:paraId="23883249" w14:textId="77777777" w:rsidR="006806BC" w:rsidRDefault="006806BC">
      <w:pPr>
        <w:spacing w:before="120" w:after="120" w:line="240" w:lineRule="auto"/>
        <w:rPr>
          <w:sz w:val="20"/>
          <w:szCs w:val="20"/>
        </w:rPr>
      </w:pPr>
    </w:p>
    <w:sectPr w:rsidR="006806BC">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609F" w14:textId="77777777" w:rsidR="00094A11" w:rsidRDefault="00094A11">
      <w:pPr>
        <w:spacing w:after="0" w:line="240" w:lineRule="auto"/>
      </w:pPr>
      <w:r>
        <w:separator/>
      </w:r>
    </w:p>
  </w:endnote>
  <w:endnote w:type="continuationSeparator" w:id="0">
    <w:p w14:paraId="74B38324" w14:textId="77777777" w:rsidR="00094A11" w:rsidRDefault="0009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83796" w14:textId="77777777" w:rsidR="006806BC" w:rsidRDefault="006806BC">
    <w:pPr>
      <w:tabs>
        <w:tab w:val="center" w:pos="4320"/>
        <w:tab w:val="right" w:pos="864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4F213" w14:textId="77777777" w:rsidR="00094A11" w:rsidRDefault="00094A11">
      <w:pPr>
        <w:spacing w:after="0" w:line="240" w:lineRule="auto"/>
      </w:pPr>
      <w:r>
        <w:separator/>
      </w:r>
    </w:p>
  </w:footnote>
  <w:footnote w:type="continuationSeparator" w:id="0">
    <w:p w14:paraId="6E1987C4" w14:textId="77777777" w:rsidR="00094A11" w:rsidRDefault="0009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72A2" w14:textId="77777777" w:rsidR="006806BC" w:rsidRDefault="00094A11">
    <w:pPr>
      <w:tabs>
        <w:tab w:val="center" w:pos="4320"/>
        <w:tab w:val="right" w:pos="8640"/>
      </w:tabs>
      <w:spacing w:before="720" w:after="0" w:line="240" w:lineRule="auto"/>
      <w:rPr>
        <w:b/>
      </w:rPr>
    </w:pPr>
    <w:r>
      <w:rPr>
        <w:b/>
      </w:rPr>
      <w:tab/>
    </w:r>
    <w:r>
      <w:rPr>
        <w:b/>
      </w:rPr>
      <w:tab/>
    </w:r>
    <w:r>
      <w:rPr>
        <w:b/>
      </w:rPr>
      <w:tab/>
    </w:r>
    <w:r>
      <w:rPr>
        <w:b/>
      </w:rPr>
      <w:tab/>
    </w:r>
    <w:r>
      <w:rPr>
        <w:b/>
      </w:rPr>
      <w:tab/>
    </w:r>
    <w:r>
      <w:rPr>
        <w:b/>
      </w:rPr>
      <w:tab/>
    </w:r>
    <w:r>
      <w:rPr>
        <w:b/>
      </w:rPr>
      <w:tab/>
    </w:r>
    <w:r>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BC"/>
    <w:rsid w:val="00094A11"/>
    <w:rsid w:val="006806BC"/>
    <w:rsid w:val="00B9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7D4B"/>
  <w15:docId w15:val="{EA2AE26A-69A3-4CB4-895B-5F23C1E5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Gay</dc:creator>
  <cp:lastModifiedBy>Cindy Gay</cp:lastModifiedBy>
  <cp:revision>2</cp:revision>
  <dcterms:created xsi:type="dcterms:W3CDTF">2018-03-29T21:46:00Z</dcterms:created>
  <dcterms:modified xsi:type="dcterms:W3CDTF">2018-03-29T21:46:00Z</dcterms:modified>
</cp:coreProperties>
</file>