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F2220" w14:textId="2833B959" w:rsidR="00111500" w:rsidRDefault="00C23F4D">
      <w:pPr>
        <w:pStyle w:val="Heading2"/>
        <w:jc w:val="center"/>
      </w:pPr>
      <w:r>
        <w:softHyphen/>
      </w:r>
      <w:r>
        <w:softHyphen/>
      </w:r>
      <w:r>
        <w:softHyphen/>
      </w:r>
      <w:r>
        <w:softHyphen/>
      </w:r>
      <w:r>
        <w:softHyphen/>
      </w:r>
      <w:r>
        <w:softHyphen/>
      </w:r>
      <w:r w:rsidR="00353492">
        <w:rPr>
          <w:noProof/>
        </w:rPr>
        <w:drawing>
          <wp:inline distT="0" distB="0" distL="0" distR="0" wp14:anchorId="02E4BB7A" wp14:editId="1BF8E195">
            <wp:extent cx="5940476" cy="74127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7"/>
                    <a:stretch>
                      <a:fillRect/>
                    </a:stretch>
                  </pic:blipFill>
                  <pic:spPr>
                    <a:xfrm>
                      <a:off x="0" y="0"/>
                      <a:ext cx="5940476" cy="741274"/>
                    </a:xfrm>
                    <a:prstGeom prst="rect">
                      <a:avLst/>
                    </a:prstGeom>
                    <a:ln w="12700" cap="flat">
                      <a:noFill/>
                      <a:miter lim="400000"/>
                    </a:ln>
                    <a:effectLst/>
                  </pic:spPr>
                </pic:pic>
              </a:graphicData>
            </a:graphic>
          </wp:inline>
        </w:drawing>
      </w:r>
    </w:p>
    <w:p w14:paraId="084D0E9A" w14:textId="77777777" w:rsidR="00111500" w:rsidRDefault="00353492">
      <w:pPr>
        <w:tabs>
          <w:tab w:val="left" w:pos="1170"/>
          <w:tab w:val="left" w:pos="3600"/>
        </w:tabs>
        <w:rPr>
          <w:rFonts w:ascii="Book Antiqua" w:eastAsia="Book Antiqua" w:hAnsi="Book Antiqua" w:cs="Book Antiqua"/>
        </w:rPr>
      </w:pPr>
      <w:r>
        <w:rPr>
          <w:rFonts w:ascii="Book Antiqua" w:hAnsi="Book Antiqua"/>
          <w:b/>
          <w:bCs/>
        </w:rPr>
        <w:tab/>
        <w:t>Media Inquiries:</w:t>
      </w:r>
      <w:r>
        <w:rPr>
          <w:rFonts w:ascii="Book Antiqua" w:hAnsi="Book Antiqua"/>
          <w:b/>
          <w:bCs/>
        </w:rPr>
        <w:tab/>
      </w:r>
      <w:r>
        <w:rPr>
          <w:rFonts w:ascii="Book Antiqua" w:hAnsi="Book Antiqua"/>
        </w:rPr>
        <w:t>Kendra Snyder,</w:t>
      </w:r>
      <w:r>
        <w:rPr>
          <w:rFonts w:ascii="Book Antiqua" w:hAnsi="Book Antiqua"/>
          <w:b/>
          <w:bCs/>
        </w:rPr>
        <w:t xml:space="preserve"> </w:t>
      </w:r>
      <w:r>
        <w:rPr>
          <w:rFonts w:ascii="Book Antiqua" w:hAnsi="Book Antiqua"/>
        </w:rPr>
        <w:t xml:space="preserve">Department of Communications </w:t>
      </w:r>
    </w:p>
    <w:p w14:paraId="0F35EFC8" w14:textId="77777777" w:rsidR="00111500" w:rsidRDefault="00353492">
      <w:pPr>
        <w:tabs>
          <w:tab w:val="left" w:pos="2160"/>
        </w:tabs>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212-496-3419; </w:t>
      </w:r>
      <w:hyperlink r:id="rId8" w:history="1">
        <w:r>
          <w:rPr>
            <w:rStyle w:val="Hyperlink0"/>
          </w:rPr>
          <w:t>ksnyder@amnh.org</w:t>
        </w:r>
      </w:hyperlink>
    </w:p>
    <w:p w14:paraId="233C8A39" w14:textId="77777777" w:rsidR="00111500" w:rsidRDefault="00353492">
      <w:pPr>
        <w:tabs>
          <w:tab w:val="left" w:pos="2160"/>
        </w:tabs>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www.amnh.org</w:t>
      </w:r>
    </w:p>
    <w:p w14:paraId="648F79E2" w14:textId="77777777" w:rsidR="00111500" w:rsidRDefault="00111500">
      <w:pPr>
        <w:pBdr>
          <w:bottom w:val="single" w:sz="4" w:space="0" w:color="000000"/>
        </w:pBdr>
      </w:pPr>
    </w:p>
    <w:p w14:paraId="12D2A547" w14:textId="77777777" w:rsidR="00111500" w:rsidRDefault="00111500">
      <w:pPr>
        <w:pStyle w:val="Title"/>
        <w:jc w:val="right"/>
      </w:pPr>
    </w:p>
    <w:p w14:paraId="40A3FB5B" w14:textId="77777777" w:rsidR="00F10F1F" w:rsidRDefault="00F10F1F">
      <w:pPr>
        <w:jc w:val="center"/>
        <w:rPr>
          <w:rFonts w:ascii="Arial" w:hAnsi="Arial"/>
          <w:b/>
          <w:bCs/>
          <w:caps/>
        </w:rPr>
      </w:pPr>
      <w:r>
        <w:rPr>
          <w:rFonts w:ascii="Arial" w:hAnsi="Arial"/>
          <w:b/>
          <w:bCs/>
          <w:caps/>
        </w:rPr>
        <w:t>Growing up Trilobite</w:t>
      </w:r>
    </w:p>
    <w:p w14:paraId="4FF54DA2" w14:textId="77777777" w:rsidR="00111500" w:rsidRDefault="00111500">
      <w:pPr>
        <w:rPr>
          <w:b/>
          <w:bCs/>
        </w:rPr>
      </w:pPr>
    </w:p>
    <w:p w14:paraId="513211D0" w14:textId="33F55867" w:rsidR="00111500" w:rsidRPr="00632B1F" w:rsidRDefault="00632B1F" w:rsidP="00632B1F">
      <w:pPr>
        <w:ind w:left="720" w:hanging="720"/>
        <w:jc w:val="center"/>
        <w:rPr>
          <w:rFonts w:ascii="Arial" w:hAnsi="Arial"/>
          <w:b/>
          <w:bCs/>
          <w:smallCaps/>
        </w:rPr>
      </w:pPr>
      <w:r>
        <w:rPr>
          <w:rFonts w:ascii="Arial" w:hAnsi="Arial"/>
          <w:b/>
          <w:bCs/>
          <w:smallCaps/>
        </w:rPr>
        <w:t xml:space="preserve">New </w:t>
      </w:r>
      <w:r w:rsidR="00353492">
        <w:rPr>
          <w:rFonts w:ascii="Arial" w:hAnsi="Arial"/>
          <w:b/>
          <w:bCs/>
          <w:smallCaps/>
        </w:rPr>
        <w:t xml:space="preserve">study </w:t>
      </w:r>
      <w:r w:rsidR="008F27F0">
        <w:rPr>
          <w:rFonts w:ascii="Arial" w:hAnsi="Arial"/>
          <w:b/>
          <w:bCs/>
          <w:smallCaps/>
        </w:rPr>
        <w:t xml:space="preserve">is first to </w:t>
      </w:r>
      <w:r>
        <w:rPr>
          <w:rFonts w:ascii="Arial" w:hAnsi="Arial"/>
          <w:b/>
          <w:bCs/>
          <w:smallCaps/>
        </w:rPr>
        <w:t>describe growth rate of one of the most common and abundant trilobites and compare with second species</w:t>
      </w:r>
    </w:p>
    <w:p w14:paraId="08E242E4" w14:textId="77777777" w:rsidR="00111500" w:rsidRDefault="00111500">
      <w:pPr>
        <w:jc w:val="center"/>
        <w:rPr>
          <w:rFonts w:ascii="Arial" w:eastAsia="Arial" w:hAnsi="Arial" w:cs="Arial"/>
          <w:b/>
          <w:bCs/>
          <w:smallCaps/>
        </w:rPr>
      </w:pPr>
    </w:p>
    <w:p w14:paraId="19CA6DEE" w14:textId="758CD70F" w:rsidR="00632B1F" w:rsidRDefault="007F3315" w:rsidP="00632B1F">
      <w:pPr>
        <w:spacing w:line="360" w:lineRule="auto"/>
        <w:ind w:firstLine="720"/>
        <w:rPr>
          <w:rFonts w:ascii="Book Antiqua" w:hAnsi="Book Antiqua"/>
          <w:sz w:val="23"/>
          <w:szCs w:val="23"/>
        </w:rPr>
      </w:pPr>
      <w:r w:rsidRPr="007F3315">
        <w:rPr>
          <w:rFonts w:ascii="Book Antiqua" w:hAnsi="Book Antiqua"/>
          <w:sz w:val="23"/>
          <w:szCs w:val="23"/>
        </w:rPr>
        <w:t xml:space="preserve">If you’ve ever held a trilobite fossil, </w:t>
      </w:r>
      <w:r w:rsidR="00264B0C">
        <w:rPr>
          <w:rFonts w:ascii="Book Antiqua" w:hAnsi="Book Antiqua"/>
          <w:sz w:val="23"/>
          <w:szCs w:val="23"/>
        </w:rPr>
        <w:t>seen</w:t>
      </w:r>
      <w:r w:rsidR="00264B0C" w:rsidRPr="007F3315">
        <w:rPr>
          <w:rFonts w:ascii="Book Antiqua" w:hAnsi="Book Antiqua"/>
          <w:sz w:val="23"/>
          <w:szCs w:val="23"/>
        </w:rPr>
        <w:t xml:space="preserve"> </w:t>
      </w:r>
      <w:r w:rsidRPr="007F3315">
        <w:rPr>
          <w:rFonts w:ascii="Book Antiqua" w:hAnsi="Book Antiqua"/>
          <w:sz w:val="23"/>
          <w:szCs w:val="23"/>
        </w:rPr>
        <w:t xml:space="preserve">one in a classroom, or walked by one in a store, chances are it was </w:t>
      </w:r>
      <w:proofErr w:type="spellStart"/>
      <w:r w:rsidRPr="007F3315">
        <w:rPr>
          <w:rFonts w:ascii="Book Antiqua" w:hAnsi="Book Antiqua"/>
          <w:i/>
          <w:iCs/>
          <w:sz w:val="23"/>
          <w:szCs w:val="23"/>
        </w:rPr>
        <w:t>Elrathia</w:t>
      </w:r>
      <w:proofErr w:type="spellEnd"/>
      <w:r w:rsidRPr="007F3315">
        <w:rPr>
          <w:rFonts w:ascii="Book Antiqua" w:hAnsi="Book Antiqua"/>
          <w:i/>
          <w:iCs/>
          <w:sz w:val="23"/>
          <w:szCs w:val="23"/>
        </w:rPr>
        <w:t xml:space="preserve"> </w:t>
      </w:r>
      <w:proofErr w:type="spellStart"/>
      <w:r w:rsidRPr="007F3315">
        <w:rPr>
          <w:rFonts w:ascii="Book Antiqua" w:hAnsi="Book Antiqua"/>
          <w:i/>
          <w:iCs/>
          <w:sz w:val="23"/>
          <w:szCs w:val="23"/>
        </w:rPr>
        <w:t>kingii</w:t>
      </w:r>
      <w:proofErr w:type="spellEnd"/>
      <w:r w:rsidRPr="007F3315">
        <w:rPr>
          <w:rFonts w:ascii="Book Antiqua" w:hAnsi="Book Antiqua"/>
          <w:sz w:val="23"/>
          <w:szCs w:val="23"/>
        </w:rPr>
        <w:t xml:space="preserve">, one of the most common and well-recognized trilobites, and collected by the hundreds of thousands in western Utah. But despite the popularity of this species, scientists </w:t>
      </w:r>
      <w:r w:rsidR="00F626D0">
        <w:rPr>
          <w:rFonts w:ascii="Book Antiqua" w:hAnsi="Book Antiqua"/>
          <w:sz w:val="23"/>
          <w:szCs w:val="23"/>
        </w:rPr>
        <w:t>had</w:t>
      </w:r>
      <w:r w:rsidR="00F626D0" w:rsidRPr="007F3315">
        <w:rPr>
          <w:rFonts w:ascii="Book Antiqua" w:hAnsi="Book Antiqua"/>
          <w:sz w:val="23"/>
          <w:szCs w:val="23"/>
        </w:rPr>
        <w:t xml:space="preserve"> </w:t>
      </w:r>
      <w:r w:rsidRPr="007F3315">
        <w:rPr>
          <w:rFonts w:ascii="Book Antiqua" w:hAnsi="Book Antiqua"/>
          <w:sz w:val="23"/>
          <w:szCs w:val="23"/>
        </w:rPr>
        <w:t>not determine</w:t>
      </w:r>
      <w:r w:rsidR="00F626D0">
        <w:rPr>
          <w:rFonts w:ascii="Book Antiqua" w:hAnsi="Book Antiqua"/>
          <w:sz w:val="23"/>
          <w:szCs w:val="23"/>
        </w:rPr>
        <w:t>d</w:t>
      </w:r>
      <w:r w:rsidRPr="007F3315">
        <w:rPr>
          <w:rFonts w:ascii="Book Antiqua" w:hAnsi="Book Antiqua"/>
          <w:sz w:val="23"/>
          <w:szCs w:val="23"/>
        </w:rPr>
        <w:t xml:space="preserve"> how it grew—from hatchling to juvenile to adult—until now. New work from the American Museum of Natural History published today in the journal </w:t>
      </w:r>
      <w:r w:rsidRPr="007F3315">
        <w:rPr>
          <w:rFonts w:ascii="Book Antiqua" w:hAnsi="Book Antiqua"/>
          <w:i/>
          <w:iCs/>
          <w:sz w:val="23"/>
          <w:szCs w:val="23"/>
        </w:rPr>
        <w:t xml:space="preserve">Papers in </w:t>
      </w:r>
      <w:proofErr w:type="spellStart"/>
      <w:r w:rsidRPr="007F3315">
        <w:rPr>
          <w:rFonts w:ascii="Book Antiqua" w:hAnsi="Book Antiqua"/>
          <w:i/>
          <w:iCs/>
          <w:sz w:val="23"/>
          <w:szCs w:val="23"/>
        </w:rPr>
        <w:t>Palaeontology</w:t>
      </w:r>
      <w:proofErr w:type="spellEnd"/>
      <w:r w:rsidRPr="007F3315">
        <w:rPr>
          <w:rFonts w:ascii="Book Antiqua" w:hAnsi="Book Antiqua"/>
          <w:sz w:val="23"/>
          <w:szCs w:val="23"/>
        </w:rPr>
        <w:t xml:space="preserve"> describes the development and growth rate of </w:t>
      </w:r>
      <w:proofErr w:type="spellStart"/>
      <w:r w:rsidRPr="007F3315">
        <w:rPr>
          <w:rFonts w:ascii="Book Antiqua" w:hAnsi="Book Antiqua"/>
          <w:i/>
          <w:iCs/>
          <w:sz w:val="23"/>
          <w:szCs w:val="23"/>
        </w:rPr>
        <w:t>Elrathia</w:t>
      </w:r>
      <w:proofErr w:type="spellEnd"/>
      <w:r w:rsidRPr="007F3315">
        <w:rPr>
          <w:rFonts w:ascii="Book Antiqua" w:hAnsi="Book Antiqua"/>
          <w:i/>
          <w:iCs/>
          <w:sz w:val="23"/>
          <w:szCs w:val="23"/>
        </w:rPr>
        <w:t xml:space="preserve"> </w:t>
      </w:r>
      <w:proofErr w:type="spellStart"/>
      <w:r w:rsidRPr="007F3315">
        <w:rPr>
          <w:rFonts w:ascii="Book Antiqua" w:hAnsi="Book Antiqua"/>
          <w:i/>
          <w:iCs/>
          <w:sz w:val="23"/>
          <w:szCs w:val="23"/>
        </w:rPr>
        <w:t>kingii</w:t>
      </w:r>
      <w:proofErr w:type="spellEnd"/>
      <w:r w:rsidRPr="007F3315">
        <w:rPr>
          <w:rFonts w:ascii="Book Antiqua" w:hAnsi="Book Antiqua"/>
          <w:sz w:val="23"/>
          <w:szCs w:val="23"/>
        </w:rPr>
        <w:t xml:space="preserve">—only the second such dataset to be compiled for a trilobite—allowing for the first comparison among trilobite species. </w:t>
      </w:r>
    </w:p>
    <w:p w14:paraId="5A941881" w14:textId="77357FB8" w:rsidR="007F3315" w:rsidRDefault="007F3315" w:rsidP="007F3315">
      <w:pPr>
        <w:spacing w:line="360" w:lineRule="auto"/>
        <w:ind w:firstLine="720"/>
        <w:rPr>
          <w:rFonts w:ascii="Book Antiqua" w:hAnsi="Book Antiqua"/>
          <w:sz w:val="23"/>
          <w:szCs w:val="23"/>
        </w:rPr>
      </w:pPr>
      <w:r w:rsidRPr="007F3315">
        <w:rPr>
          <w:rFonts w:ascii="Book Antiqua" w:hAnsi="Book Antiqua"/>
          <w:sz w:val="23"/>
          <w:szCs w:val="23"/>
        </w:rPr>
        <w:t>“There’s quite a big size range among trilobites. Some never g</w:t>
      </w:r>
      <w:r w:rsidR="00F626D0">
        <w:rPr>
          <w:rFonts w:ascii="Book Antiqua" w:hAnsi="Book Antiqua"/>
          <w:sz w:val="23"/>
          <w:szCs w:val="23"/>
        </w:rPr>
        <w:t>o</w:t>
      </w:r>
      <w:r w:rsidRPr="007F3315">
        <w:rPr>
          <w:rFonts w:ascii="Book Antiqua" w:hAnsi="Book Antiqua"/>
          <w:sz w:val="23"/>
          <w:szCs w:val="23"/>
        </w:rPr>
        <w:t xml:space="preserve">t bigger than about a centimeter, while the largest on record is 72 centimeters,” said Melanie Hopkins, an associate curator in the Museum’s Division of </w:t>
      </w:r>
      <w:r w:rsidR="009D0F84">
        <w:rPr>
          <w:rFonts w:ascii="Book Antiqua" w:hAnsi="Book Antiqua"/>
          <w:sz w:val="23"/>
          <w:szCs w:val="23"/>
        </w:rPr>
        <w:t>Paleontology</w:t>
      </w:r>
      <w:r w:rsidRPr="007F3315">
        <w:rPr>
          <w:rFonts w:ascii="Book Antiqua" w:hAnsi="Book Antiqua"/>
          <w:sz w:val="23"/>
          <w:szCs w:val="23"/>
        </w:rPr>
        <w:t xml:space="preserve"> and the study’s author. “Growth rate studies like this one can help us tackle some of the big-picture questions: How did some trilobites get so big? What </w:t>
      </w:r>
      <w:r w:rsidR="009D0F84">
        <w:rPr>
          <w:rFonts w:ascii="Book Antiqua" w:hAnsi="Book Antiqua"/>
          <w:sz w:val="23"/>
          <w:szCs w:val="23"/>
        </w:rPr>
        <w:t>wa</w:t>
      </w:r>
      <w:r w:rsidRPr="007F3315">
        <w:rPr>
          <w:rFonts w:ascii="Book Antiqua" w:hAnsi="Book Antiqua"/>
          <w:sz w:val="23"/>
          <w:szCs w:val="23"/>
        </w:rPr>
        <w:t xml:space="preserve">s the environmental context for that? And how did body size evolve over the </w:t>
      </w:r>
      <w:r w:rsidR="009D0F84">
        <w:rPr>
          <w:rFonts w:ascii="Book Antiqua" w:hAnsi="Book Antiqua"/>
          <w:sz w:val="23"/>
          <w:szCs w:val="23"/>
        </w:rPr>
        <w:t>evolutionary history</w:t>
      </w:r>
      <w:r w:rsidR="009D0F84" w:rsidRPr="007F3315">
        <w:rPr>
          <w:rFonts w:ascii="Book Antiqua" w:hAnsi="Book Antiqua"/>
          <w:sz w:val="23"/>
          <w:szCs w:val="23"/>
        </w:rPr>
        <w:t xml:space="preserve"> </w:t>
      </w:r>
      <w:r w:rsidRPr="007F3315">
        <w:rPr>
          <w:rFonts w:ascii="Book Antiqua" w:hAnsi="Book Antiqua"/>
          <w:sz w:val="23"/>
          <w:szCs w:val="23"/>
        </w:rPr>
        <w:t>of the clade?”</w:t>
      </w:r>
    </w:p>
    <w:p w14:paraId="37FFAF06" w14:textId="3D367304" w:rsidR="007F3315" w:rsidRDefault="007F3315" w:rsidP="007F3315">
      <w:pPr>
        <w:spacing w:line="360" w:lineRule="auto"/>
        <w:ind w:firstLine="720"/>
        <w:rPr>
          <w:rFonts w:ascii="Book Antiqua" w:hAnsi="Book Antiqua"/>
          <w:sz w:val="23"/>
          <w:szCs w:val="23"/>
        </w:rPr>
      </w:pPr>
      <w:r w:rsidRPr="007F3315">
        <w:rPr>
          <w:rFonts w:ascii="Book Antiqua" w:hAnsi="Book Antiqua"/>
          <w:sz w:val="23"/>
          <w:szCs w:val="23"/>
        </w:rPr>
        <w:t>Trilobites are a group of extinct marine arthropods—distantly related to the horseshoe crab—that lived for almost 300 million years. They were incredibly diverse, with more than 20,000 described species. Their fossilized exoskeletons are preserved in sites all over the world, from the United States to China. Like insects, they molted throughout their lifetimes, leaving clues to how they changed during development. But to calculate the species’ growth rate, scientists need fossils representing all stages of the animal</w:t>
      </w:r>
      <w:r>
        <w:rPr>
          <w:rFonts w:ascii="Book Antiqua" w:hAnsi="Book Antiqua"/>
          <w:sz w:val="23"/>
          <w:szCs w:val="23"/>
        </w:rPr>
        <w:t>’</w:t>
      </w:r>
      <w:r w:rsidRPr="007F3315">
        <w:rPr>
          <w:rFonts w:ascii="Book Antiqua" w:hAnsi="Book Antiqua"/>
          <w:sz w:val="23"/>
          <w:szCs w:val="23"/>
        </w:rPr>
        <w:t xml:space="preserve">s life—and lots of them. </w:t>
      </w:r>
    </w:p>
    <w:p w14:paraId="32C85335" w14:textId="5A71ABB4" w:rsidR="007F3315" w:rsidRDefault="007F3315" w:rsidP="007F3315">
      <w:pPr>
        <w:spacing w:line="360" w:lineRule="auto"/>
        <w:ind w:firstLine="720"/>
        <w:rPr>
          <w:rFonts w:ascii="Book Antiqua" w:hAnsi="Book Antiqua"/>
          <w:sz w:val="23"/>
          <w:szCs w:val="23"/>
        </w:rPr>
      </w:pPr>
      <w:r w:rsidRPr="007F3315">
        <w:rPr>
          <w:rFonts w:ascii="Book Antiqua" w:hAnsi="Book Antiqua"/>
          <w:sz w:val="23"/>
          <w:szCs w:val="23"/>
        </w:rPr>
        <w:lastRenderedPageBreak/>
        <w:t>“There are tons of specimens</w:t>
      </w:r>
      <w:r w:rsidR="009D0F84">
        <w:rPr>
          <w:rFonts w:ascii="Book Antiqua" w:hAnsi="Book Antiqua"/>
          <w:sz w:val="23"/>
          <w:szCs w:val="23"/>
        </w:rPr>
        <w:t xml:space="preserve"> of </w:t>
      </w:r>
      <w:proofErr w:type="spellStart"/>
      <w:r w:rsidR="009D0F84" w:rsidRPr="006A090B">
        <w:rPr>
          <w:rFonts w:ascii="Book Antiqua" w:hAnsi="Book Antiqua"/>
          <w:i/>
          <w:iCs/>
          <w:sz w:val="23"/>
          <w:szCs w:val="23"/>
        </w:rPr>
        <w:t>Elrathia</w:t>
      </w:r>
      <w:proofErr w:type="spellEnd"/>
      <w:r w:rsidR="009D0F84" w:rsidRPr="006A090B">
        <w:rPr>
          <w:rFonts w:ascii="Book Antiqua" w:hAnsi="Book Antiqua"/>
          <w:i/>
          <w:iCs/>
          <w:sz w:val="23"/>
          <w:szCs w:val="23"/>
        </w:rPr>
        <w:t xml:space="preserve"> </w:t>
      </w:r>
      <w:proofErr w:type="spellStart"/>
      <w:r w:rsidR="009D0F84" w:rsidRPr="006A090B">
        <w:rPr>
          <w:rFonts w:ascii="Book Antiqua" w:hAnsi="Book Antiqua"/>
          <w:i/>
          <w:iCs/>
          <w:sz w:val="23"/>
          <w:szCs w:val="23"/>
        </w:rPr>
        <w:t>kingii</w:t>
      </w:r>
      <w:proofErr w:type="spellEnd"/>
      <w:r w:rsidRPr="007F3315">
        <w:rPr>
          <w:rFonts w:ascii="Book Antiqua" w:hAnsi="Book Antiqua"/>
          <w:sz w:val="23"/>
          <w:szCs w:val="23"/>
        </w:rPr>
        <w:t xml:space="preserve"> out there but most of them are adults, and data from exactly where they were collected is inconsistent,” Hopkins said. “I needed material that I could collect from as small a section as possible that included a lot of juveniles.”</w:t>
      </w:r>
    </w:p>
    <w:p w14:paraId="32DEBCB1" w14:textId="372342C0" w:rsidR="007F3315" w:rsidRDefault="007F3315" w:rsidP="007F3315">
      <w:pPr>
        <w:spacing w:line="360" w:lineRule="auto"/>
        <w:ind w:firstLine="720"/>
        <w:rPr>
          <w:rFonts w:ascii="Book Antiqua" w:hAnsi="Book Antiqua"/>
          <w:sz w:val="23"/>
          <w:szCs w:val="23"/>
        </w:rPr>
      </w:pPr>
      <w:proofErr w:type="gramStart"/>
      <w:r w:rsidRPr="007F3315">
        <w:rPr>
          <w:rFonts w:ascii="Book Antiqua" w:hAnsi="Book Antiqua"/>
          <w:sz w:val="23"/>
          <w:szCs w:val="23"/>
        </w:rPr>
        <w:t>So</w:t>
      </w:r>
      <w:proofErr w:type="gramEnd"/>
      <w:r w:rsidRPr="007F3315">
        <w:rPr>
          <w:rFonts w:ascii="Book Antiqua" w:hAnsi="Book Antiqua"/>
          <w:sz w:val="23"/>
          <w:szCs w:val="23"/>
        </w:rPr>
        <w:t xml:space="preserve"> in May 2018, Hopkins spent five days in Utah with </w:t>
      </w:r>
      <w:r w:rsidR="009D0F84">
        <w:rPr>
          <w:rFonts w:ascii="Book Antiqua" w:hAnsi="Book Antiqua"/>
          <w:sz w:val="23"/>
          <w:szCs w:val="23"/>
        </w:rPr>
        <w:t xml:space="preserve">a crew consisting of </w:t>
      </w:r>
      <w:r w:rsidR="00264B0C">
        <w:rPr>
          <w:rFonts w:ascii="Book Antiqua" w:hAnsi="Book Antiqua"/>
          <w:sz w:val="23"/>
          <w:szCs w:val="23"/>
        </w:rPr>
        <w:t xml:space="preserve">Museum </w:t>
      </w:r>
      <w:r w:rsidR="009D0F84">
        <w:rPr>
          <w:rFonts w:ascii="Book Antiqua" w:hAnsi="Book Antiqua"/>
          <w:sz w:val="23"/>
          <w:szCs w:val="23"/>
        </w:rPr>
        <w:t>staff and volunteers</w:t>
      </w:r>
      <w:r w:rsidRPr="007F3315">
        <w:rPr>
          <w:rFonts w:ascii="Book Antiqua" w:hAnsi="Book Antiqua"/>
          <w:sz w:val="23"/>
          <w:szCs w:val="23"/>
        </w:rPr>
        <w:t xml:space="preserve"> at a new fossil site said to preserve </w:t>
      </w:r>
      <w:proofErr w:type="spellStart"/>
      <w:r w:rsidRPr="007F3315">
        <w:rPr>
          <w:rFonts w:ascii="Book Antiqua" w:hAnsi="Book Antiqua"/>
          <w:sz w:val="23"/>
          <w:szCs w:val="23"/>
        </w:rPr>
        <w:t>bucketloads</w:t>
      </w:r>
      <w:proofErr w:type="spellEnd"/>
      <w:r w:rsidRPr="007F3315">
        <w:rPr>
          <w:rFonts w:ascii="Book Antiqua" w:hAnsi="Book Antiqua"/>
          <w:sz w:val="23"/>
          <w:szCs w:val="23"/>
        </w:rPr>
        <w:t xml:space="preserve"> of </w:t>
      </w:r>
      <w:proofErr w:type="spellStart"/>
      <w:r w:rsidRPr="007F3315">
        <w:rPr>
          <w:rFonts w:ascii="Book Antiqua" w:hAnsi="Book Antiqua"/>
          <w:i/>
          <w:iCs/>
          <w:sz w:val="23"/>
          <w:szCs w:val="23"/>
        </w:rPr>
        <w:t>Elrathia</w:t>
      </w:r>
      <w:proofErr w:type="spellEnd"/>
      <w:r w:rsidRPr="007F3315">
        <w:rPr>
          <w:rFonts w:ascii="Book Antiqua" w:hAnsi="Book Antiqua"/>
          <w:i/>
          <w:iCs/>
          <w:sz w:val="23"/>
          <w:szCs w:val="23"/>
        </w:rPr>
        <w:t xml:space="preserve"> </w:t>
      </w:r>
      <w:proofErr w:type="spellStart"/>
      <w:r w:rsidRPr="007F3315">
        <w:rPr>
          <w:rFonts w:ascii="Book Antiqua" w:hAnsi="Book Antiqua"/>
          <w:i/>
          <w:iCs/>
          <w:sz w:val="23"/>
          <w:szCs w:val="23"/>
        </w:rPr>
        <w:t>kingii</w:t>
      </w:r>
      <w:proofErr w:type="spellEnd"/>
      <w:r w:rsidRPr="007F3315">
        <w:rPr>
          <w:rFonts w:ascii="Book Antiqua" w:hAnsi="Book Antiqua"/>
          <w:sz w:val="23"/>
          <w:szCs w:val="23"/>
        </w:rPr>
        <w:t xml:space="preserve">. By the end of the trip, they had collected about 500 specimens—many of them juveniles, which can be as small as half a millimeter long—from a section of outcrop just 1.5 meters (about 5 feet) long. </w:t>
      </w:r>
    </w:p>
    <w:p w14:paraId="42CAD869" w14:textId="0F80F9C8" w:rsidR="007519E8" w:rsidRDefault="007F3315" w:rsidP="007519E8">
      <w:pPr>
        <w:spacing w:line="360" w:lineRule="auto"/>
        <w:ind w:firstLine="720"/>
        <w:rPr>
          <w:rFonts w:ascii="Book Antiqua" w:hAnsi="Book Antiqua"/>
          <w:sz w:val="23"/>
          <w:szCs w:val="23"/>
        </w:rPr>
      </w:pPr>
      <w:r w:rsidRPr="007F3315">
        <w:rPr>
          <w:rFonts w:ascii="Book Antiqua" w:hAnsi="Book Antiqua"/>
          <w:sz w:val="23"/>
          <w:szCs w:val="23"/>
        </w:rPr>
        <w:t xml:space="preserve">Hopkins estimated the growth rate and compared it to previously published data on a different trilobite, </w:t>
      </w:r>
      <w:proofErr w:type="spellStart"/>
      <w:r w:rsidRPr="007F3315">
        <w:rPr>
          <w:rFonts w:ascii="Book Antiqua" w:hAnsi="Book Antiqua"/>
          <w:i/>
          <w:iCs/>
          <w:sz w:val="23"/>
          <w:szCs w:val="23"/>
        </w:rPr>
        <w:t>Aulacopleura</w:t>
      </w:r>
      <w:proofErr w:type="spellEnd"/>
      <w:r w:rsidRPr="007F3315">
        <w:rPr>
          <w:rFonts w:ascii="Book Antiqua" w:hAnsi="Book Antiqua"/>
          <w:i/>
          <w:iCs/>
          <w:sz w:val="23"/>
          <w:szCs w:val="23"/>
        </w:rPr>
        <w:t xml:space="preserve"> </w:t>
      </w:r>
      <w:proofErr w:type="spellStart"/>
      <w:r w:rsidRPr="007F3315">
        <w:rPr>
          <w:rFonts w:ascii="Book Antiqua" w:hAnsi="Book Antiqua"/>
          <w:i/>
          <w:iCs/>
          <w:sz w:val="23"/>
          <w:szCs w:val="23"/>
        </w:rPr>
        <w:t>konincki</w:t>
      </w:r>
      <w:proofErr w:type="spellEnd"/>
      <w:r w:rsidRPr="007F3315">
        <w:rPr>
          <w:rFonts w:ascii="Book Antiqua" w:hAnsi="Book Antiqua"/>
          <w:sz w:val="23"/>
          <w:szCs w:val="23"/>
        </w:rPr>
        <w:t>—the first time two trilobite species have been compared in this way. The two species look very similar and Hopkins found that they also grow in similar ways</w:t>
      </w:r>
      <w:r>
        <w:rPr>
          <w:rFonts w:ascii="Book Antiqua" w:hAnsi="Book Antiqua"/>
          <w:sz w:val="23"/>
          <w:szCs w:val="23"/>
        </w:rPr>
        <w:t>: for example, the growth of the trunk—</w:t>
      </w:r>
      <w:r w:rsidR="00BA58C7">
        <w:rPr>
          <w:rFonts w:ascii="Book Antiqua" w:hAnsi="Book Antiqua"/>
          <w:sz w:val="23"/>
          <w:szCs w:val="23"/>
        </w:rPr>
        <w:t>the</w:t>
      </w:r>
      <w:r>
        <w:rPr>
          <w:rFonts w:ascii="Book Antiqua" w:hAnsi="Book Antiqua"/>
          <w:sz w:val="23"/>
          <w:szCs w:val="23"/>
        </w:rPr>
        <w:t xml:space="preserve"> area immediately below </w:t>
      </w:r>
      <w:bookmarkStart w:id="0" w:name="_GoBack"/>
      <w:bookmarkEnd w:id="0"/>
      <w:r>
        <w:rPr>
          <w:rFonts w:ascii="Book Antiqua" w:hAnsi="Book Antiqua"/>
          <w:sz w:val="23"/>
          <w:szCs w:val="23"/>
        </w:rPr>
        <w:t>the trilobite’s head</w:t>
      </w:r>
      <w:r w:rsidR="00BA58C7">
        <w:rPr>
          <w:rFonts w:ascii="Book Antiqua" w:hAnsi="Book Antiqua"/>
          <w:sz w:val="23"/>
          <w:szCs w:val="23"/>
        </w:rPr>
        <w:t xml:space="preserve"> made up of segments that increase with age</w:t>
      </w:r>
      <w:r>
        <w:rPr>
          <w:rFonts w:ascii="Book Antiqua" w:hAnsi="Book Antiqua"/>
          <w:sz w:val="23"/>
          <w:szCs w:val="23"/>
        </w:rPr>
        <w:t xml:space="preserve">—was </w:t>
      </w:r>
      <w:r w:rsidR="009D0F84">
        <w:rPr>
          <w:rFonts w:ascii="Book Antiqua" w:hAnsi="Book Antiqua"/>
          <w:sz w:val="23"/>
          <w:szCs w:val="23"/>
        </w:rPr>
        <w:t>controlled by a growth gradient</w:t>
      </w:r>
      <w:r w:rsidR="00BA58C7">
        <w:rPr>
          <w:rFonts w:ascii="Book Antiqua" w:hAnsi="Book Antiqua"/>
          <w:sz w:val="23"/>
          <w:szCs w:val="23"/>
        </w:rPr>
        <w:t xml:space="preserve">, with those that were </w:t>
      </w:r>
      <w:r w:rsidR="009D0F84">
        <w:rPr>
          <w:rFonts w:ascii="Book Antiqua" w:hAnsi="Book Antiqua"/>
          <w:sz w:val="23"/>
          <w:szCs w:val="23"/>
        </w:rPr>
        <w:t xml:space="preserve">younger </w:t>
      </w:r>
      <w:r w:rsidR="00BA58C7">
        <w:rPr>
          <w:rFonts w:ascii="Book Antiqua" w:hAnsi="Book Antiqua"/>
          <w:sz w:val="23"/>
          <w:szCs w:val="23"/>
        </w:rPr>
        <w:t xml:space="preserve">and closer to the back of the body undergoing faster growth. </w:t>
      </w:r>
      <w:r w:rsidRPr="007F3315">
        <w:rPr>
          <w:rFonts w:ascii="Book Antiqua" w:hAnsi="Book Antiqua"/>
          <w:sz w:val="23"/>
          <w:szCs w:val="23"/>
        </w:rPr>
        <w:t xml:space="preserve">But while </w:t>
      </w:r>
      <w:proofErr w:type="spellStart"/>
      <w:r w:rsidRPr="007F3315">
        <w:rPr>
          <w:rFonts w:ascii="Book Antiqua" w:hAnsi="Book Antiqua"/>
          <w:i/>
          <w:iCs/>
          <w:sz w:val="23"/>
          <w:szCs w:val="23"/>
        </w:rPr>
        <w:t>Elrathia</w:t>
      </w:r>
      <w:proofErr w:type="spellEnd"/>
      <w:r w:rsidRPr="007F3315">
        <w:rPr>
          <w:rFonts w:ascii="Book Antiqua" w:hAnsi="Book Antiqua"/>
          <w:i/>
          <w:iCs/>
          <w:sz w:val="23"/>
          <w:szCs w:val="23"/>
        </w:rPr>
        <w:t xml:space="preserve"> </w:t>
      </w:r>
      <w:proofErr w:type="spellStart"/>
      <w:r w:rsidRPr="007F3315">
        <w:rPr>
          <w:rFonts w:ascii="Book Antiqua" w:hAnsi="Book Antiqua"/>
          <w:i/>
          <w:iCs/>
          <w:sz w:val="23"/>
          <w:szCs w:val="23"/>
        </w:rPr>
        <w:t>kingii</w:t>
      </w:r>
      <w:proofErr w:type="spellEnd"/>
      <w:r w:rsidRPr="007F3315">
        <w:rPr>
          <w:rFonts w:ascii="Book Antiqua" w:hAnsi="Book Antiqua"/>
          <w:sz w:val="23"/>
          <w:szCs w:val="23"/>
        </w:rPr>
        <w:t xml:space="preserve"> was smaller in early development and went through fewer molts before adulthood, it had faster growth rates, ultimately reaching sizes on par with </w:t>
      </w:r>
      <w:proofErr w:type="spellStart"/>
      <w:r w:rsidRPr="006A090B">
        <w:rPr>
          <w:rFonts w:ascii="Book Antiqua" w:hAnsi="Book Antiqua"/>
          <w:i/>
          <w:iCs/>
          <w:sz w:val="23"/>
          <w:szCs w:val="23"/>
        </w:rPr>
        <w:t>Aulacopleura</w:t>
      </w:r>
      <w:proofErr w:type="spellEnd"/>
      <w:r w:rsidRPr="006A090B">
        <w:rPr>
          <w:rFonts w:ascii="Book Antiqua" w:hAnsi="Book Antiqua"/>
          <w:i/>
          <w:iCs/>
          <w:sz w:val="23"/>
          <w:szCs w:val="23"/>
        </w:rPr>
        <w:t xml:space="preserve"> </w:t>
      </w:r>
      <w:proofErr w:type="spellStart"/>
      <w:r w:rsidRPr="006A090B">
        <w:rPr>
          <w:rFonts w:ascii="Book Antiqua" w:hAnsi="Book Antiqua"/>
          <w:i/>
          <w:iCs/>
          <w:sz w:val="23"/>
          <w:szCs w:val="23"/>
        </w:rPr>
        <w:t>konincki</w:t>
      </w:r>
      <w:proofErr w:type="spellEnd"/>
      <w:r w:rsidRPr="007F3315">
        <w:rPr>
          <w:rFonts w:ascii="Book Antiqua" w:hAnsi="Book Antiqua"/>
          <w:sz w:val="23"/>
          <w:szCs w:val="23"/>
        </w:rPr>
        <w:t xml:space="preserve">, the largest of which are about 4 centimeters long. </w:t>
      </w:r>
    </w:p>
    <w:p w14:paraId="5CAAB0D2" w14:textId="5EC49398" w:rsidR="007F3315" w:rsidRDefault="008A2735" w:rsidP="007519E8">
      <w:pPr>
        <w:spacing w:line="360" w:lineRule="auto"/>
        <w:ind w:firstLine="720"/>
        <w:rPr>
          <w:rFonts w:ascii="Book Antiqua" w:hAnsi="Book Antiqua"/>
          <w:sz w:val="23"/>
          <w:szCs w:val="23"/>
        </w:rPr>
      </w:pPr>
      <w:r>
        <w:rPr>
          <w:rFonts w:ascii="Book Antiqua" w:hAnsi="Book Antiqua"/>
          <w:sz w:val="23"/>
          <w:szCs w:val="23"/>
        </w:rPr>
        <w:t xml:space="preserve">In future studies, </w:t>
      </w:r>
      <w:r w:rsidR="007F3315" w:rsidRPr="007F3315">
        <w:rPr>
          <w:rFonts w:ascii="Book Antiqua" w:hAnsi="Book Antiqua"/>
          <w:sz w:val="23"/>
          <w:szCs w:val="23"/>
        </w:rPr>
        <w:t>Hopkins is</w:t>
      </w:r>
      <w:r w:rsidR="003F0B02">
        <w:rPr>
          <w:rFonts w:ascii="Book Antiqua" w:hAnsi="Book Antiqua"/>
          <w:sz w:val="23"/>
          <w:szCs w:val="23"/>
        </w:rPr>
        <w:t xml:space="preserve"> planning</w:t>
      </w:r>
      <w:r w:rsidR="007F3315" w:rsidRPr="007F3315">
        <w:rPr>
          <w:rFonts w:ascii="Book Antiqua" w:hAnsi="Book Antiqua"/>
          <w:sz w:val="23"/>
          <w:szCs w:val="23"/>
        </w:rPr>
        <w:t xml:space="preserve"> to </w:t>
      </w:r>
      <w:r>
        <w:rPr>
          <w:rFonts w:ascii="Book Antiqua" w:hAnsi="Book Antiqua"/>
          <w:sz w:val="23"/>
          <w:szCs w:val="23"/>
        </w:rPr>
        <w:t xml:space="preserve">add </w:t>
      </w:r>
      <w:r w:rsidR="00803700">
        <w:rPr>
          <w:rFonts w:ascii="Book Antiqua" w:hAnsi="Book Antiqua"/>
          <w:sz w:val="23"/>
          <w:szCs w:val="23"/>
        </w:rPr>
        <w:t>growth-</w:t>
      </w:r>
      <w:r>
        <w:rPr>
          <w:rFonts w:ascii="Book Antiqua" w:hAnsi="Book Antiqua"/>
          <w:sz w:val="23"/>
          <w:szCs w:val="23"/>
        </w:rPr>
        <w:t>rate data on different, more diverse-looking trilobite species</w:t>
      </w:r>
      <w:r w:rsidR="009B2B82">
        <w:rPr>
          <w:rFonts w:ascii="Book Antiqua" w:hAnsi="Book Antiqua"/>
          <w:sz w:val="23"/>
          <w:szCs w:val="23"/>
        </w:rPr>
        <w:t xml:space="preserve"> </w:t>
      </w:r>
      <w:r>
        <w:rPr>
          <w:rFonts w:ascii="Book Antiqua" w:hAnsi="Book Antiqua"/>
          <w:sz w:val="23"/>
          <w:szCs w:val="23"/>
        </w:rPr>
        <w:t xml:space="preserve">to her models. </w:t>
      </w:r>
    </w:p>
    <w:p w14:paraId="6B2718D5" w14:textId="77777777" w:rsidR="00111500" w:rsidRDefault="00111500">
      <w:pPr>
        <w:spacing w:line="360" w:lineRule="auto"/>
        <w:rPr>
          <w:rFonts w:ascii="Book Antiqua" w:eastAsia="Book Antiqua" w:hAnsi="Book Antiqua" w:cs="Book Antiqua"/>
          <w:sz w:val="23"/>
          <w:szCs w:val="23"/>
        </w:rPr>
      </w:pPr>
    </w:p>
    <w:p w14:paraId="6B61C5EB" w14:textId="77777777" w:rsidR="006D1439" w:rsidRPr="00F157BE" w:rsidRDefault="006D1439" w:rsidP="006D1439">
      <w:pPr>
        <w:rPr>
          <w:rFonts w:ascii="Book Antiqua" w:eastAsia="Book Antiqua" w:hAnsi="Book Antiqua" w:cs="Book Antiqua"/>
          <w:b/>
          <w:bCs/>
          <w:sz w:val="22"/>
          <w:szCs w:val="22"/>
        </w:rPr>
      </w:pPr>
      <w:r w:rsidRPr="00F157BE">
        <w:rPr>
          <w:rFonts w:ascii="Book Antiqua" w:hAnsi="Book Antiqua"/>
          <w:b/>
          <w:bCs/>
          <w:smallCaps/>
          <w:sz w:val="22"/>
          <w:szCs w:val="22"/>
        </w:rPr>
        <w:t>ABOUT THE AMERICAN MUSEUM OF NATURAL HISTORY (AMNH)</w:t>
      </w:r>
    </w:p>
    <w:p w14:paraId="177867CF" w14:textId="28502EDF" w:rsidR="00111500" w:rsidRDefault="006D1439" w:rsidP="006A090B">
      <w:pPr>
        <w:rPr>
          <w:rFonts w:ascii="Book Antiqua" w:eastAsia="Book Antiqua" w:hAnsi="Book Antiqua" w:cs="Book Antiqua"/>
        </w:rPr>
      </w:pPr>
      <w:r w:rsidRPr="00F157BE">
        <w:rPr>
          <w:rFonts w:ascii="Book Antiqua" w:hAnsi="Book Antiqua"/>
          <w:sz w:val="22"/>
          <w:szCs w:val="22"/>
        </w:rPr>
        <w:t>The American Museum of Natural History, founded in 1869 and currently celebrating its 150th anniversary, is one of the world’s preeminent scientific, educational, and cultural institutions. The Museum encompasses 45 permanent exhibition halls, including those in the Rose Center for Earth and Space plus the Hayden Planetarium, as well as galleries for temporary exhibitions. The Museum’s approximately 200 scientists draw on a world-class research collection of more than 34 million artifacts and specimens, some of which are billions of years old, and on one of the largest natural history libraries in the world. Through its Richard Gilder Graduate School, the Museum grants the Ph.D. degree in Comparative Biology and the Master of Arts in Teaching (MAT) degree, the only such free-standing, degree-granting programs at any museum in the United States. The Museum’s website, digital videos, and apps for mobile devices bring its collections, exhibitions, and educational programs to millions more around the world. Visit </w:t>
      </w:r>
      <w:hyperlink r:id="rId9" w:tgtFrame="_blank" w:history="1">
        <w:r w:rsidRPr="00F157BE">
          <w:rPr>
            <w:rStyle w:val="Hyperlink"/>
            <w:rFonts w:ascii="Book Antiqua" w:hAnsi="Book Antiqua"/>
            <w:sz w:val="22"/>
            <w:szCs w:val="22"/>
          </w:rPr>
          <w:t>amnh.or</w:t>
        </w:r>
        <w:r w:rsidRPr="00F157BE">
          <w:rPr>
            <w:rStyle w:val="Hyperlink"/>
            <w:rFonts w:ascii="Book Antiqua" w:hAnsi="Book Antiqua"/>
            <w:sz w:val="22"/>
            <w:szCs w:val="22"/>
          </w:rPr>
          <w:t>g</w:t>
        </w:r>
      </w:hyperlink>
      <w:r w:rsidRPr="00F157BE">
        <w:rPr>
          <w:rFonts w:ascii="Book Antiqua" w:hAnsi="Book Antiqua"/>
          <w:sz w:val="22"/>
          <w:szCs w:val="22"/>
        </w:rPr>
        <w:t xml:space="preserve"> for more information</w:t>
      </w:r>
      <w:r>
        <w:rPr>
          <w:rFonts w:ascii="Book Antiqua" w:hAnsi="Book Antiqua"/>
          <w:sz w:val="22"/>
          <w:szCs w:val="22"/>
        </w:rPr>
        <w:t>.</w:t>
      </w:r>
    </w:p>
    <w:p w14:paraId="3A0F9570" w14:textId="61FD1766" w:rsidR="00111500" w:rsidRDefault="00111500" w:rsidP="0013307B">
      <w:pPr>
        <w:spacing w:line="360" w:lineRule="auto"/>
      </w:pPr>
    </w:p>
    <w:sectPr w:rsidR="00111500">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D9593" w16cid:durableId="22B71397"/>
  <w16cid:commentId w16cid:paraId="360B5D39" w16cid:durableId="22B716F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E4323" w14:textId="77777777" w:rsidR="00B108F6" w:rsidRDefault="00B108F6">
      <w:r>
        <w:separator/>
      </w:r>
    </w:p>
  </w:endnote>
  <w:endnote w:type="continuationSeparator" w:id="0">
    <w:p w14:paraId="265BEDD0" w14:textId="77777777" w:rsidR="00B108F6" w:rsidRDefault="00B1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C65C7" w14:textId="77777777" w:rsidR="00B108F6" w:rsidRDefault="00B108F6">
      <w:r>
        <w:separator/>
      </w:r>
    </w:p>
  </w:footnote>
  <w:footnote w:type="continuationSeparator" w:id="0">
    <w:p w14:paraId="09E36141" w14:textId="77777777" w:rsidR="00B108F6" w:rsidRDefault="00B10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00"/>
    <w:rsid w:val="000110E9"/>
    <w:rsid w:val="0004368A"/>
    <w:rsid w:val="000B441F"/>
    <w:rsid w:val="00111500"/>
    <w:rsid w:val="0013307B"/>
    <w:rsid w:val="00155560"/>
    <w:rsid w:val="001607A4"/>
    <w:rsid w:val="00193DA6"/>
    <w:rsid w:val="001B1607"/>
    <w:rsid w:val="00225C2A"/>
    <w:rsid w:val="00232471"/>
    <w:rsid w:val="002645AF"/>
    <w:rsid w:val="00264B0C"/>
    <w:rsid w:val="002A57BE"/>
    <w:rsid w:val="002C2F46"/>
    <w:rsid w:val="002C62E5"/>
    <w:rsid w:val="0030698B"/>
    <w:rsid w:val="00345D3C"/>
    <w:rsid w:val="00353492"/>
    <w:rsid w:val="00361252"/>
    <w:rsid w:val="003804F8"/>
    <w:rsid w:val="00396EC1"/>
    <w:rsid w:val="003A7EA2"/>
    <w:rsid w:val="003C233E"/>
    <w:rsid w:val="003D56B4"/>
    <w:rsid w:val="003F0B02"/>
    <w:rsid w:val="0041659F"/>
    <w:rsid w:val="00453646"/>
    <w:rsid w:val="00534449"/>
    <w:rsid w:val="00561CBC"/>
    <w:rsid w:val="00585A0F"/>
    <w:rsid w:val="00585B66"/>
    <w:rsid w:val="005A693A"/>
    <w:rsid w:val="005D1BAB"/>
    <w:rsid w:val="005E0E48"/>
    <w:rsid w:val="005E7482"/>
    <w:rsid w:val="005E7FE5"/>
    <w:rsid w:val="00620495"/>
    <w:rsid w:val="00630311"/>
    <w:rsid w:val="00632B1F"/>
    <w:rsid w:val="006A090B"/>
    <w:rsid w:val="006A3B54"/>
    <w:rsid w:val="006A44CA"/>
    <w:rsid w:val="006D1439"/>
    <w:rsid w:val="006F406E"/>
    <w:rsid w:val="007045B3"/>
    <w:rsid w:val="00707686"/>
    <w:rsid w:val="007519E8"/>
    <w:rsid w:val="00774D7C"/>
    <w:rsid w:val="007B266A"/>
    <w:rsid w:val="007D4BD1"/>
    <w:rsid w:val="007E46EC"/>
    <w:rsid w:val="007F3315"/>
    <w:rsid w:val="00803700"/>
    <w:rsid w:val="00807F54"/>
    <w:rsid w:val="0081003B"/>
    <w:rsid w:val="00843F96"/>
    <w:rsid w:val="00847B87"/>
    <w:rsid w:val="00890D08"/>
    <w:rsid w:val="008A2735"/>
    <w:rsid w:val="008F27F0"/>
    <w:rsid w:val="00910571"/>
    <w:rsid w:val="009447B1"/>
    <w:rsid w:val="0099279E"/>
    <w:rsid w:val="00997337"/>
    <w:rsid w:val="009B2B82"/>
    <w:rsid w:val="009C0EF3"/>
    <w:rsid w:val="009D0F84"/>
    <w:rsid w:val="00A01DA5"/>
    <w:rsid w:val="00A07B23"/>
    <w:rsid w:val="00A21098"/>
    <w:rsid w:val="00A52789"/>
    <w:rsid w:val="00A541FE"/>
    <w:rsid w:val="00AA62E2"/>
    <w:rsid w:val="00AD645D"/>
    <w:rsid w:val="00AE4E23"/>
    <w:rsid w:val="00B108F6"/>
    <w:rsid w:val="00B26E32"/>
    <w:rsid w:val="00B94BF4"/>
    <w:rsid w:val="00BA00CF"/>
    <w:rsid w:val="00BA58C7"/>
    <w:rsid w:val="00BA7310"/>
    <w:rsid w:val="00BC34F2"/>
    <w:rsid w:val="00BE0381"/>
    <w:rsid w:val="00BF0041"/>
    <w:rsid w:val="00C23F4D"/>
    <w:rsid w:val="00C36A1A"/>
    <w:rsid w:val="00C413AE"/>
    <w:rsid w:val="00C57E02"/>
    <w:rsid w:val="00CB56BA"/>
    <w:rsid w:val="00CB7DA7"/>
    <w:rsid w:val="00CD2098"/>
    <w:rsid w:val="00DA212B"/>
    <w:rsid w:val="00DA2759"/>
    <w:rsid w:val="00DF0F43"/>
    <w:rsid w:val="00E22D7D"/>
    <w:rsid w:val="00E3078B"/>
    <w:rsid w:val="00E85CB2"/>
    <w:rsid w:val="00E86C93"/>
    <w:rsid w:val="00EA1F3E"/>
    <w:rsid w:val="00EA47C1"/>
    <w:rsid w:val="00F10F1F"/>
    <w:rsid w:val="00F150AC"/>
    <w:rsid w:val="00F157BE"/>
    <w:rsid w:val="00F20867"/>
    <w:rsid w:val="00F626D0"/>
    <w:rsid w:val="00F70108"/>
    <w:rsid w:val="00FA1858"/>
    <w:rsid w:val="00FE06AD"/>
    <w:rsid w:val="00FE5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795D"/>
  <w15:docId w15:val="{6A53B8D3-29AD-D14D-A684-2A63145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B1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CN"/>
    </w:rPr>
  </w:style>
  <w:style w:type="paragraph" w:styleId="Heading2">
    <w:name w:val="heading 2"/>
    <w:next w:val="Normal"/>
    <w:uiPriority w:val="9"/>
    <w:unhideWhenUsed/>
    <w:qFormat/>
    <w:pPr>
      <w:keepNext/>
      <w:outlineLvl w:val="1"/>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Book Antiqua" w:eastAsia="Book Antiqua" w:hAnsi="Book Antiqua" w:cs="Book Antiqua"/>
      <w:outline w:val="0"/>
      <w:color w:val="0000FF"/>
      <w:u w:val="single" w:color="0000FF"/>
    </w:rPr>
  </w:style>
  <w:style w:type="paragraph" w:styleId="Title">
    <w:name w:val="Title"/>
    <w:uiPriority w:val="10"/>
    <w:qFormat/>
    <w:pPr>
      <w:jc w:val="center"/>
    </w:pPr>
    <w:rPr>
      <w:rFonts w:cs="Arial Unicode MS"/>
      <w:b/>
      <w:bC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Arial Unicode MS" w:cs="Arial Unicode MS"/>
      <w:color w:val="000000"/>
      <w:sz w:val="20"/>
      <w:szCs w:val="20"/>
      <w:u w:color="000000"/>
      <w:bdr w:val="nil"/>
      <w:lang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1858"/>
    <w:pPr>
      <w:pBdr>
        <w:top w:val="nil"/>
        <w:left w:val="nil"/>
        <w:bottom w:val="nil"/>
        <w:right w:val="nil"/>
        <w:between w:val="nil"/>
        <w:bar w:val="nil"/>
      </w:pBdr>
    </w:pPr>
    <w:rPr>
      <w:rFonts w:eastAsia="Arial Unicode MS"/>
      <w:color w:val="000000"/>
      <w:sz w:val="18"/>
      <w:szCs w:val="18"/>
      <w:u w:color="000000"/>
      <w:bdr w:val="nil"/>
      <w:lang w:eastAsia="en-US"/>
      <w14:textOutline w14:w="0" w14:cap="flat" w14:cmpd="sng" w14:algn="ctr">
        <w14:noFill/>
        <w14:prstDash w14:val="solid"/>
        <w14:bevel/>
      </w14:textOutline>
    </w:rPr>
  </w:style>
  <w:style w:type="character" w:customStyle="1" w:styleId="BalloonTextChar">
    <w:name w:val="Balloon Text Char"/>
    <w:basedOn w:val="DefaultParagraphFont"/>
    <w:link w:val="BalloonText"/>
    <w:uiPriority w:val="99"/>
    <w:semiHidden/>
    <w:rsid w:val="00FA1858"/>
    <w:rPr>
      <w:color w:val="000000"/>
      <w:sz w:val="18"/>
      <w:szCs w:val="18"/>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C413AE"/>
    <w:rPr>
      <w:b/>
      <w:bCs/>
    </w:rPr>
  </w:style>
  <w:style w:type="character" w:customStyle="1" w:styleId="CommentSubjectChar">
    <w:name w:val="Comment Subject Char"/>
    <w:basedOn w:val="CommentTextChar"/>
    <w:link w:val="CommentSubject"/>
    <w:uiPriority w:val="99"/>
    <w:semiHidden/>
    <w:rsid w:val="00C413AE"/>
    <w:rPr>
      <w:rFonts w:cs="Arial Unicode MS"/>
      <w:b/>
      <w:bCs/>
      <w:color w:val="000000"/>
      <w:u w:color="000000"/>
      <w14:textOutline w14:w="0" w14:cap="flat" w14:cmpd="sng" w14:algn="ctr">
        <w14:noFill/>
        <w14:prstDash w14:val="solid"/>
        <w14:bevel/>
      </w14:textOutline>
    </w:rPr>
  </w:style>
  <w:style w:type="paragraph" w:styleId="Revision">
    <w:name w:val="Revision"/>
    <w:hidden/>
    <w:uiPriority w:val="99"/>
    <w:semiHidden/>
    <w:rsid w:val="001330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6466">
      <w:bodyDiv w:val="1"/>
      <w:marLeft w:val="0"/>
      <w:marRight w:val="0"/>
      <w:marTop w:val="0"/>
      <w:marBottom w:val="0"/>
      <w:divBdr>
        <w:top w:val="none" w:sz="0" w:space="0" w:color="auto"/>
        <w:left w:val="none" w:sz="0" w:space="0" w:color="auto"/>
        <w:bottom w:val="none" w:sz="0" w:space="0" w:color="auto"/>
        <w:right w:val="none" w:sz="0" w:space="0" w:color="auto"/>
      </w:divBdr>
    </w:div>
    <w:div w:id="561019557">
      <w:bodyDiv w:val="1"/>
      <w:marLeft w:val="0"/>
      <w:marRight w:val="0"/>
      <w:marTop w:val="0"/>
      <w:marBottom w:val="0"/>
      <w:divBdr>
        <w:top w:val="none" w:sz="0" w:space="0" w:color="auto"/>
        <w:left w:val="none" w:sz="0" w:space="0" w:color="auto"/>
        <w:bottom w:val="none" w:sz="0" w:space="0" w:color="auto"/>
        <w:right w:val="none" w:sz="0" w:space="0" w:color="auto"/>
      </w:divBdr>
    </w:div>
    <w:div w:id="801121990">
      <w:bodyDiv w:val="1"/>
      <w:marLeft w:val="0"/>
      <w:marRight w:val="0"/>
      <w:marTop w:val="0"/>
      <w:marBottom w:val="0"/>
      <w:divBdr>
        <w:top w:val="none" w:sz="0" w:space="0" w:color="auto"/>
        <w:left w:val="none" w:sz="0" w:space="0" w:color="auto"/>
        <w:bottom w:val="none" w:sz="0" w:space="0" w:color="auto"/>
        <w:right w:val="none" w:sz="0" w:space="0" w:color="auto"/>
      </w:divBdr>
    </w:div>
    <w:div w:id="17114880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ksnyder@amnh.org" TargetMode="External"/><Relationship Id="rId9" Type="http://schemas.openxmlformats.org/officeDocument/2006/relationships/hyperlink" Target="https://slack-redir.net/link?url=http%3A%2F%2Famnh.org" TargetMode="External"/><Relationship Id="rId1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733784-D745-D649-9B9F-C0F6EAB5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Brouillette</cp:lastModifiedBy>
  <cp:revision>2</cp:revision>
  <dcterms:created xsi:type="dcterms:W3CDTF">2020-07-15T11:27:00Z</dcterms:created>
  <dcterms:modified xsi:type="dcterms:W3CDTF">2020-07-15T11:27:00Z</dcterms:modified>
</cp:coreProperties>
</file>